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EE4E57" w:rsidRPr="00892B73" w:rsidTr="00791FB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E4E57" w:rsidRPr="00892B73" w:rsidRDefault="00EE4E57" w:rsidP="00791FB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Alternativni izvori financiranja</w:t>
            </w:r>
          </w:p>
        </w:tc>
      </w:tr>
      <w:tr w:rsidR="00EE4E57" w:rsidRPr="00892B73" w:rsidTr="00791FB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ECS510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E4E57" w:rsidRPr="00892B73" w:rsidTr="00791FB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C43F99" w:rsidRDefault="00EE4E57" w:rsidP="00791FB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43F99" w:rsidRDefault="00C43F99" w:rsidP="00791FB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3F99">
              <w:rPr>
                <w:rFonts w:ascii="Arial" w:hAnsi="Arial" w:cs="Arial"/>
                <w:color w:val="FF0000"/>
                <w:sz w:val="20"/>
                <w:szCs w:val="20"/>
              </w:rPr>
              <w:t xml:space="preserve">Tino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Kusanović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="00AA3999">
              <w:rPr>
                <w:rFonts w:ascii="Arial" w:hAnsi="Arial" w:cs="Arial"/>
                <w:color w:val="FF0000"/>
                <w:sz w:val="20"/>
                <w:szCs w:val="20"/>
              </w:rPr>
              <w:t xml:space="preserve"> dipl. </w:t>
            </w:r>
            <w:proofErr w:type="spellStart"/>
            <w:r w:rsidR="00AA3999">
              <w:rPr>
                <w:rFonts w:ascii="Arial" w:hAnsi="Arial" w:cs="Arial"/>
                <w:color w:val="FF0000"/>
                <w:sz w:val="20"/>
                <w:szCs w:val="20"/>
              </w:rPr>
              <w:t>oec</w:t>
            </w:r>
            <w:proofErr w:type="spellEnd"/>
            <w:r w:rsidR="00AA399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EE4E57" w:rsidRPr="00C43F99" w:rsidRDefault="00C43F99" w:rsidP="00791FB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3F99">
              <w:rPr>
                <w:rFonts w:ascii="Arial" w:hAnsi="Arial" w:cs="Arial"/>
                <w:color w:val="FF0000"/>
                <w:sz w:val="20"/>
                <w:szCs w:val="20"/>
              </w:rPr>
              <w:t>predavač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E4E57" w:rsidRPr="00892B73" w:rsidTr="00791FB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2C3B73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20</w:t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E4E57" w:rsidRPr="00892B73" w:rsidTr="00791FBB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 predmeta je pružiti studentima potrebna znanja o rizičnom kapitalu kao alternativnom načinu financiranja i investiranja poduzeća, kako s aspekta ulagača  rizičnog kapitala tako i s aspekta poduzetnika.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976BCA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Temeljna znanja iz financijskog menadžmenta.</w:t>
            </w:r>
          </w:p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pStyle w:val="Odlomakpopisa"/>
              <w:spacing w:after="0" w:line="240" w:lineRule="auto"/>
              <w:ind w:left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26A00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EE4E57" w:rsidRPr="00026A00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Utvrditi ključne aspekte rizičnog kapitala kao alternativnog načina                                  financiranja poduzeća (6. razina).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26A00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EE4E57" w:rsidRPr="00026A00" w:rsidRDefault="00EE4E57" w:rsidP="00791FBB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026A00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  <w:t xml:space="preserve">Samostalno klasificirati izvore financiranja poduzeća u njegovim različitim </w:t>
            </w:r>
          </w:p>
          <w:p w:rsidR="00EE4E57" w:rsidRPr="00026A00" w:rsidRDefault="00EE4E57" w:rsidP="00791FBB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026A00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  <w:t>životnim fazama.</w:t>
            </w:r>
          </w:p>
          <w:p w:rsidR="00EE4E57" w:rsidRPr="00026A00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26A00">
              <w:rPr>
                <w:rFonts w:ascii="Arial" w:hAnsi="Arial" w:cs="Arial"/>
                <w:sz w:val="20"/>
                <w:szCs w:val="20"/>
                <w:lang w:eastAsia="hr-HR"/>
              </w:rPr>
              <w:t>Skicirati graf /dijagram alternativnih ulaganja te ih usporediti.</w:t>
            </w:r>
          </w:p>
          <w:p w:rsidR="00EE4E57" w:rsidRPr="00026A00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26A00">
              <w:rPr>
                <w:rFonts w:ascii="Arial" w:hAnsi="Arial" w:cs="Arial"/>
                <w:sz w:val="20"/>
                <w:szCs w:val="20"/>
                <w:lang w:eastAsia="hr-HR"/>
              </w:rPr>
              <w:t>Vrednovati vrijednosti poduzeća primjenom različitih metoda</w:t>
            </w:r>
          </w:p>
          <w:p w:rsidR="00EE4E57" w:rsidRPr="00026A00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26A00">
              <w:rPr>
                <w:rFonts w:ascii="Arial" w:hAnsi="Arial" w:cs="Arial"/>
                <w:sz w:val="20"/>
                <w:szCs w:val="20"/>
                <w:lang w:eastAsia="hr-HR"/>
              </w:rPr>
              <w:t>Povezati ulaganja rizičnog kapitala u svijetu.</w:t>
            </w:r>
          </w:p>
          <w:p w:rsidR="00EE4E57" w:rsidRPr="00026A00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EE4E57" w:rsidRPr="00026A00" w:rsidTr="00791FBB">
              <w:tc>
                <w:tcPr>
                  <w:tcW w:w="3402" w:type="dxa"/>
                  <w:gridSpan w:val="2"/>
                </w:tcPr>
                <w:p w:rsidR="00EE4E57" w:rsidRPr="00026A00" w:rsidRDefault="00EE4E57" w:rsidP="00791FB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b/>
                      <w:sz w:val="18"/>
                      <w:szCs w:val="18"/>
                    </w:rPr>
                    <w:t>Vježbe/ Seminar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  <w:tcBorders>
                    <w:bottom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Teme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  <w:tcBorders>
                    <w:top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Dogovor o načinu rada;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Izvori financiranja poduzeća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Mogućnosti financiranja poduzeća u Hrvatskoj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Formalni rizični kapital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Formalni rizični kapital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rPr>
                <w:trHeight w:val="454"/>
              </w:trPr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Neformalni rizični kapital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Neformalni rizični kapital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 xml:space="preserve">Proces ulaganja u </w:t>
                  </w:r>
                  <w:proofErr w:type="spellStart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private</w:t>
                  </w:r>
                  <w:proofErr w:type="spellEnd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equity</w:t>
                  </w:r>
                  <w:proofErr w:type="spellEnd"/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Menadžerske naknade, obećani, investirani kapital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Investicijski proces i investicijski kriteriji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Clawback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Analiza vrijednosti poduzeća – naglasak na NPV metodu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 xml:space="preserve">Kolokvij </w:t>
                  </w:r>
                  <w:r w:rsidR="002C3B73" w:rsidRPr="00026A00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Trošak kapitala i vrijednosti poduzeća NPV metodom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Analiza vrijednosti poduzeća – metoda rizičnog kapitala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Istraživanja poduzetničke aktivnosti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Vrednovanje poduzeća metodom rizičnog kapitala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Mreže poslovnih anđela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Rizični kapital u Hrvatskoj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Fondovi rizičnog kapitala u Hrvatskoj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Rizični kapital u svijetu</w:t>
                  </w:r>
                </w:p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Rizični kapital u svijetu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Skupno financiranje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2C3B7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Kolokvij 2</w:t>
                  </w:r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Crowdfunding</w:t>
                  </w:r>
                  <w:proofErr w:type="spellEnd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 xml:space="preserve"> platforme (prezentacija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026A00" w:rsidTr="00791FBB">
              <w:tc>
                <w:tcPr>
                  <w:tcW w:w="2787" w:type="dxa"/>
                </w:tcPr>
                <w:p w:rsidR="00EE4E57" w:rsidRPr="00026A00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Due</w:t>
                  </w:r>
                  <w:proofErr w:type="spellEnd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diligence</w:t>
                  </w:r>
                  <w:proofErr w:type="spellEnd"/>
                </w:p>
              </w:tc>
              <w:tc>
                <w:tcPr>
                  <w:tcW w:w="615" w:type="dxa"/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Zaključna razmatranja i konačni rezultati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026A00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26A0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EE4E57" w:rsidRPr="00026A00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2271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EE4E57" w:rsidRPr="00422714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22714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42271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samostalni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EE4E57" w:rsidRPr="00422714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22714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4227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470A" w:rsidRPr="004227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27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6470A" w:rsidRPr="00422714">
              <w:rPr>
                <w:rFonts w:ascii="Arial" w:hAnsi="Arial" w:cs="Arial"/>
                <w:sz w:val="20"/>
                <w:szCs w:val="20"/>
              </w:rPr>
            </w:r>
            <w:r w:rsidR="00C6470A" w:rsidRPr="004227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="00C6470A" w:rsidRPr="0042271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71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227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71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E4E57" w:rsidRPr="00892B73" w:rsidTr="00791FB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Uvjet za ostvarenje prava na potpis i pristup ispitu je 50%-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tna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prisutnost i na predavanjima i na vježbama za redovne studente, odnosno 25%-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tna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prisutnost i na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predavanjima i na vježbama za izvanredne studente, kao i izložen i pozitivno ocijenjen seminarski rad.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Uz prisustvovanje, aktivno sudjelovanje na nastavi pretpostavlja i prezentaciju u manjim grupama studenata na zadanu temu.</w:t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5F23C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Prezentacija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026A0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5F23C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26A0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5F23C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Tijekom trajanja semestra održat će se dvije pisane provjere znanja (u obliku dva kolokvija). Drugoj pisanoj provjeri znanja mogu pristupiti isključivo studenti koji su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položili prvu pisanu provjeru znanja.</w:t>
            </w: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 Kolokviji nose 100% od ukupne ocjene i sastoje se od teorijskih pitanja (60%) i numeričkih zadataka (40%). 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* Polaganje kolokvija zamjenjuje završni ispit.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0-54      nedovoljan (1) 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55 - 69  dovoljan (2);  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70 – 79  dobar (3); 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80 – 89   vrlo dobar (4) 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90 – 100 izvrstan (5).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Prezentacija nosi 10% od ukupne ocjene. Broj studenata u grupi određuje nastavnik.</w:t>
            </w:r>
          </w:p>
          <w:p w:rsidR="00EE4E57" w:rsidRPr="00026A00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Ispit se smatra položenim ako je student:</w:t>
            </w:r>
          </w:p>
          <w:p w:rsidR="00EE4E57" w:rsidRPr="00026A00" w:rsidRDefault="00EE4E57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ostvario 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 xml:space="preserve">minimalno </w:t>
            </w: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50% od 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 xml:space="preserve">ukupnog </w:t>
            </w: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broja bodova 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>na svakom pojedinom kolokviju</w:t>
            </w: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>ili minimalno 50% od ukupnog broja bodova na završnom (pisanom ispitu),</w:t>
            </w:r>
          </w:p>
          <w:p w:rsidR="00EE4E57" w:rsidRPr="00026A00" w:rsidRDefault="00EE4E57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ostvario min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>imalno</w:t>
            </w: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 50% od 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>ukupnog</w:t>
            </w: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 broja bodova iz prezentacije</w:t>
            </w:r>
            <w:r w:rsidR="005F23CA" w:rsidRPr="00026A00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5F23CA" w:rsidRPr="00026A00" w:rsidRDefault="005F23CA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Konačna ocjena se formira kao zbroj:</w:t>
            </w:r>
          </w:p>
          <w:p w:rsidR="00EE4E57" w:rsidRPr="00026A00" w:rsidRDefault="00EE4E57" w:rsidP="00EE4E5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 xml:space="preserve">bodova ostvarenih putem pisanih provjera znanja umnožene s ponderom od 0.9 te </w:t>
            </w:r>
          </w:p>
          <w:p w:rsidR="00EE4E57" w:rsidRPr="00026A00" w:rsidRDefault="00EE4E57" w:rsidP="00EE4E5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lastRenderedPageBreak/>
              <w:t>broja bodova ostvarenih putem prezentacije umnoženih s ponderom 0.1.</w:t>
            </w:r>
          </w:p>
          <w:p w:rsidR="00EE4E57" w:rsidRPr="00026A00" w:rsidRDefault="00EE4E57" w:rsidP="00791FB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eastAsia="Calibri" w:hAnsi="Arial" w:cs="Arial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EE4E57" w:rsidRPr="00892B73" w:rsidTr="00791FB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0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C6470A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026A0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26A00">
              <w:rPr>
                <w:rFonts w:ascii="Arial" w:hAnsi="Arial" w:cs="Arial"/>
                <w:sz w:val="20"/>
                <w:szCs w:val="20"/>
              </w:rPr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026A0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26A0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26A00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AU"/>
              </w:rPr>
            </w:pP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  <w:lang w:val="en-AU"/>
              </w:rPr>
              <w:t>Udžbenici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  <w:lang w:val="en-AU"/>
              </w:rPr>
              <w:t>i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  <w:lang w:val="en-AU"/>
              </w:rPr>
              <w:t>knjige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  <w:lang w:val="en-AU"/>
              </w:rPr>
              <w:t>:</w:t>
            </w:r>
          </w:p>
          <w:p w:rsidR="00EE4E57" w:rsidRPr="00026A00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:rsidR="00EE4E57" w:rsidRPr="00026A00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Mettrick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Yasuda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A.: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Venture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Capital&amp;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Innovation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, 2011</w:t>
            </w:r>
          </w:p>
          <w:p w:rsidR="00EE4E57" w:rsidRPr="00026A00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:rsidR="00EE4E57" w:rsidRPr="00026A00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Cvijanović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, V.,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Marović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 M.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i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Sruk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, B.: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Financiranje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malih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i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srednjih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poduzeća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 xml:space="preserve">, GIPA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d.o.o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  <w:lang w:val="en-AU"/>
              </w:rPr>
              <w:t>., Zagreb, 2008.</w:t>
            </w:r>
          </w:p>
          <w:p w:rsidR="00EE4E57" w:rsidRPr="00026A00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Fraser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Sampson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G.: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Private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equity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asset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, 2010.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., Pepur, S., Šimić Šarić, M. Financijski menadžment, 9. Izdanje, RRiF, Zagreb, 2015.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Članci: 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Šimić Šarić, M (2017)..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Does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Venture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Capital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Market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Exist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Former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Yugoslavia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?, EBEEC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Economies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Balkan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Eastern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Europe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Changed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World,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KnE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Vladović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, L., Vela, V., Šimić Šarić, M. (2017)., Promjene na neformalnom tržištu rizičnog kapitala u Europi, Financije na prekretnici: Imamo li snage za iskorak) In memoriam prof. dr. sc. Ivo Sever, (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. Prof. dr. sc. Helena Blažić, prof. dr. sc. Mira Dimitrić, prof. dr. sc. Mario Pečarić), EFRI, Rijeka.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6A00">
              <w:rPr>
                <w:rFonts w:ascii="Arial" w:hAnsi="Arial" w:cs="Arial"/>
                <w:i/>
                <w:sz w:val="20"/>
                <w:szCs w:val="20"/>
              </w:rPr>
              <w:t>Šimić, M., Atraktivnost Hrvatske u privlačenju ulagača rizičnog kapitala, Ekonomska misao i praksa, god. XXIV., br. 1., 2015.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Šimić Šarić, M.,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Did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Private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equity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Venture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capital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market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CEE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recovered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after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financial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crisis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?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Case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Poland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Hungary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Czech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Republic,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Development (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Book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Proceedings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), 11th International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Scientific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Conference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on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Development – Building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Resilient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Society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, Zagreb, Croatia, 17-18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December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 2015, (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Ed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by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Ante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Vuletic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, Rebeka Danijela Vlahov, Igor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Pihir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),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full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i/>
                <w:sz w:val="20"/>
                <w:szCs w:val="20"/>
              </w:rPr>
              <w:t>text</w:t>
            </w:r>
            <w:proofErr w:type="spellEnd"/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 on CD-ROM.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6A00">
              <w:rPr>
                <w:rFonts w:ascii="Arial" w:hAnsi="Arial" w:cs="Arial"/>
                <w:i/>
                <w:sz w:val="20"/>
                <w:szCs w:val="20"/>
              </w:rPr>
              <w:t>Šimić, M., Fondovi za gospodarsku suradnju kao izvor financiranja malog gospodarstva u Hrvatskoj, u  knjizi Financije nakon krize: Forenzika, etika i održivost (urednici: izv. prof. dr. sc. Marijana Ćurak, doc. dr. sc. Ana Kundid i doc. dr. sc. Josip Visković), Sveučilište u Splitu, Ekonomski fakultet, 2014.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6A00">
              <w:rPr>
                <w:rFonts w:ascii="Arial" w:hAnsi="Arial" w:cs="Arial"/>
                <w:i/>
                <w:sz w:val="20"/>
                <w:szCs w:val="20"/>
              </w:rPr>
              <w:t xml:space="preserve">Šimić, M., Latentni ulagači, u  knjizi Financije nakon krize: Forenzika, etika i održivost (urednici: izv. prof. dr. sc. Marijana Ćurak, doc. dr. sc. Ana Kundid i doc. dr. sc. Josip </w:t>
            </w:r>
            <w:r w:rsidRPr="00026A00">
              <w:rPr>
                <w:rFonts w:ascii="Arial" w:hAnsi="Arial" w:cs="Arial"/>
                <w:i/>
                <w:sz w:val="20"/>
                <w:szCs w:val="20"/>
              </w:rPr>
              <w:lastRenderedPageBreak/>
              <w:t>Visković), Sveučilište u Splitu, Ekonomski fakultet, 2014.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Šimić, M., Poslovni anđeli- neformalni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riziko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kapital, Zbornik radova, Svezak I. –znanstveni radovi, Računovodstvo i menadžment, 13. Međunarodna znanstvena i stručna konferencija, Zagreb, Hrvatska, 14.-16. lipnja, 2012., (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glavnik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urednik: Vinko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Belak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Šimić, M., Ćurak, M.,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Private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equity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ulaganje i moderna portfelj teorija, u knjizi: Mala i srednja poduzeća – Financijska politika i ekonomsko-financijski okvir podrške, (urednica: prof. dr. sc. Ljiljana Vidučić), Ekonomski fakultet Split, Split, 2012.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Ostali izvori:</w:t>
            </w:r>
            <w:r w:rsidRPr="00026A00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Poslovni slučajevi i vijesti s portala Europska mreža poslovnih anđela (</w:t>
            </w:r>
            <w:hyperlink r:id="rId6" w:history="1">
              <w:r w:rsidRPr="00026A0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http://www.eban.org/</w:t>
              </w:r>
            </w:hyperlink>
            <w:r w:rsidRPr="00026A0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Poslovni slučajevi i vijesti s portala Hrvatska mreža poslovnih anđela (</w:t>
            </w:r>
            <w:hyperlink r:id="rId7" w:history="1">
              <w:r w:rsidRPr="00026A0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http://www.crane.hr/</w:t>
              </w:r>
            </w:hyperlink>
            <w:r w:rsidRPr="00026A0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Invest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Europe (</w:t>
            </w:r>
            <w:hyperlink r:id="rId8" w:history="1">
              <w:r w:rsidRPr="00026A0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https://www.investeurope.eu/</w:t>
              </w:r>
            </w:hyperlink>
            <w:r w:rsidRPr="00026A0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Kickstarter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(</w:t>
            </w:r>
            <w:hyperlink r:id="rId9" w:history="1">
              <w:r w:rsidRPr="00026A0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https://www.kickstarter.com/</w:t>
              </w:r>
            </w:hyperlink>
            <w:r w:rsidRPr="00026A0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026A00">
              <w:rPr>
                <w:rFonts w:ascii="Arial" w:hAnsi="Arial" w:cs="Arial"/>
                <w:sz w:val="20"/>
                <w:szCs w:val="20"/>
              </w:rPr>
              <w:t>Indiegogo</w:t>
            </w:r>
            <w:proofErr w:type="spellEnd"/>
            <w:r w:rsidRPr="00026A00">
              <w:rPr>
                <w:rFonts w:ascii="Arial" w:hAnsi="Arial" w:cs="Arial"/>
                <w:sz w:val="20"/>
                <w:szCs w:val="20"/>
              </w:rPr>
              <w:t xml:space="preserve"> (</w:t>
            </w:r>
            <w:hyperlink r:id="rId10" w:history="1">
              <w:r w:rsidRPr="00026A0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https://www.indiegogo.com/</w:t>
              </w:r>
            </w:hyperlink>
            <w:r w:rsidRPr="00026A0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E4E57" w:rsidRPr="00026A00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6A00">
              <w:rPr>
                <w:rFonts w:ascii="Arial" w:hAnsi="Arial" w:cs="Arial"/>
                <w:sz w:val="20"/>
                <w:szCs w:val="20"/>
              </w:rPr>
              <w:t>Poslovni slučajevi i vijesti s portala CEPOR (https://www.cepor.hr/)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EE4E57" w:rsidRPr="00154553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E4E57" w:rsidRPr="00154553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EE4E57" w:rsidRPr="00154553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EE4E57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E4E57" w:rsidRPr="0086646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C6470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D337D" w:rsidRDefault="003E4FF5"/>
    <w:sectPr w:rsidR="005D337D" w:rsidSect="005A4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57"/>
    <w:rsid w:val="00026A00"/>
    <w:rsid w:val="002C3B73"/>
    <w:rsid w:val="003E4FF5"/>
    <w:rsid w:val="004F7149"/>
    <w:rsid w:val="005A46C5"/>
    <w:rsid w:val="005F23CA"/>
    <w:rsid w:val="00AA3999"/>
    <w:rsid w:val="00C43F99"/>
    <w:rsid w:val="00C6470A"/>
    <w:rsid w:val="00CA3E2A"/>
    <w:rsid w:val="00EE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21B86-2138-4B00-8BE8-2F08250E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E57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EE4E5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EE4E57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EE4E57"/>
    <w:pPr>
      <w:ind w:left="720"/>
      <w:contextualSpacing/>
    </w:pPr>
    <w:rPr>
      <w:rFonts w:eastAsia="Calibri"/>
    </w:rPr>
  </w:style>
  <w:style w:type="character" w:styleId="Hiperveza">
    <w:name w:val="Hyperlink"/>
    <w:rsid w:val="00EE4E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vesteurope.e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rane.hr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ban.or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ndiegogo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ickstarte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7F87C-FBE5-454B-A726-76EA8FCB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predavac</dc:creator>
  <cp:lastModifiedBy>Katarina Sumić Milković</cp:lastModifiedBy>
  <cp:revision>2</cp:revision>
  <dcterms:created xsi:type="dcterms:W3CDTF">2019-10-21T11:00:00Z</dcterms:created>
  <dcterms:modified xsi:type="dcterms:W3CDTF">2019-10-21T11:00:00Z</dcterms:modified>
</cp:coreProperties>
</file>